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Dedicación exclusiva</w:t>
      </w:r>
    </w:p>
    <w:tbl>
      <w:tblGrid>
        <w:gridCol w:w="22600" w:type="dxa"/>
        <w:gridCol w:w="480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2600" w:type="pct"/>
          </w:tcPr>
          <w:p>
            <w:pPr/>
            <w:r>
              <w:rPr/>
              <w:t xml:space="preserve">Cargo</w:t>
            </w:r>
          </w:p>
        </w:tc>
        <w:tc>
          <w:tcPr>
            <w:tcW w:w="480800" w:type="pct"/>
          </w:tcPr>
          <w:p>
            <w:pPr/>
            <w:r>
              <w:rPr/>
              <w:t xml:space="preserve">Retribucion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Presidencia</w:t>
            </w:r>
          </w:p>
        </w:tc>
        <w:tc>
          <w:tcPr>
            <w:tcW w:w="480800" w:type="pct"/>
          </w:tcPr>
          <w:p>
            <w:pPr/>
            <w:r>
              <w:rPr/>
              <w:t xml:space="preserve">85.593,62 €/año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Vicepresidencias, Presidentes de Grupo sin ser Portavoz, y Portavoces</w:t>
            </w:r>
          </w:p>
        </w:tc>
        <w:tc>
          <w:tcPr>
            <w:tcW w:w="480800" w:type="pct"/>
          </w:tcPr>
          <w:p>
            <w:pPr/>
            <w:r>
              <w:rPr/>
              <w:t xml:space="preserve">78.343,58 €/año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Coordinadores</w:t>
            </w:r>
          </w:p>
        </w:tc>
        <w:tc>
          <w:tcPr>
            <w:tcW w:w="480800" w:type="pct"/>
          </w:tcPr>
          <w:p>
            <w:pPr/>
            <w:r>
              <w:rPr/>
              <w:t xml:space="preserve">60.813,76 €/año</w:t>
            </w:r>
          </w:p>
        </w:tc>
      </w:tr>
      <w:tr>
        <w:trPr/>
        <w:tc>
          <w:tcPr>
            <w:tcW w:w="22600" w:type="pct"/>
          </w:tcPr>
          <w:p>
            <w:pPr/>
            <w:r>
              <w:rPr/>
              <w:t xml:space="preserve">Diputados con delegaciones específicas</w:t>
            </w:r>
          </w:p>
        </w:tc>
        <w:tc>
          <w:tcPr>
            <w:tcW w:w="480800" w:type="pct"/>
          </w:tcPr>
          <w:p>
            <w:pPr/>
            <w:r>
              <w:rPr/>
              <w:t xml:space="preserve">41.011,18 €/año</w:t>
            </w:r>
          </w:p>
        </w:tc>
      </w:tr>
      <w:tr>
        <w:trPr/>
        <w:tc>
          <w:tcPr>
            <w:tcW w:w="350" w:type="pct"/>
            <w:gridSpan w:val="2"/>
          </w:tcPr>
          <w:p>
            <w:pPr/>
            <w:r>
              <w:rPr/>
              <w:t xml:space="preserve"> 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Indemnizaciones</w:t>
      </w:r>
    </w:p>
    <w:tbl>
      <w:tblGrid>
        <w:gridCol w:w="1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0" w:type="pct"/>
          </w:tcPr>
          <w:p>
            <w:pPr/>
            <w:r>
              <w:rPr/>
              <w:t xml:space="preserve">Cargo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750 € por sesión de Pleno, Comisiones Informativas u otras comisiones (máximo mensual)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1.100 € al mes por asistencia a Junta de Gobierno Local (máximo mensual)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85 € por sesión en órganos de Organismos Autónomos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Derecho a dietas por desplazamientos autorizados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 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Dotación económica de los grupos políticos</w:t>
      </w:r>
    </w:p>
    <w:tbl>
      <w:tblGrid>
        <w:gridCol w:w="1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0" w:type="pct"/>
          </w:tcPr>
          <w:p>
            <w:pPr/>
            <w:r>
              <w:rPr/>
              <w:t xml:space="preserve">Asignación económica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3.000 € al mes por grupo (componente fijo)</w:t>
            </w:r>
          </w:p>
        </w:tc>
      </w:tr>
      <w:tr>
        <w:trPr/>
        <w:tc>
          <w:tcPr>
            <w:tcW w:w="1750" w:type="pct"/>
          </w:tcPr>
          <w:p>
            <w:pPr/>
            <w:r>
              <w:rPr/>
              <w:t xml:space="preserve">2.511 € al mes por diputado (componente variable)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2026-08-15T23:29:40+00:00</dcterms:created>
  <dcterms:modified xsi:type="dcterms:W3CDTF">2026-08-15T23:29:40+00:00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